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A60CE" w:rsidR="00384F51" w:rsidP="00563F2A" w:rsidRDefault="00CA60CE" w14:paraId="0C14DEFA" w14:textId="51B121D8">
      <w:pPr>
        <w:jc w:val="center"/>
        <w:textAlignment w:val="baseline"/>
        <w:rPr>
          <w:sz w:val="24"/>
          <w:szCs w:val="24"/>
          <w:lang w:val="lt-LT" w:eastAsia="lt-LT"/>
        </w:rPr>
      </w:pPr>
      <w:r w:rsidRPr="00CA60CE">
        <w:rPr>
          <w:b/>
          <w:bCs/>
          <w:sz w:val="24"/>
          <w:szCs w:val="24"/>
          <w:lang w:val="lt-LT" w:eastAsia="lt-LT"/>
        </w:rPr>
        <w:t>PAGRINDINIŲ NORMATYVINIŲ DOKUMENTŲ SĄRAŠAS</w:t>
      </w:r>
    </w:p>
    <w:p w:rsidRPr="00CA60CE" w:rsidR="00384F51" w:rsidP="00CA60CE" w:rsidRDefault="00384F51" w14:paraId="3896CBCA" w14:textId="77777777">
      <w:pPr>
        <w:jc w:val="both"/>
        <w:textAlignment w:val="baseline"/>
        <w:rPr>
          <w:rFonts w:asciiTheme="majorBidi" w:hAnsiTheme="majorBidi" w:cstheme="majorBidi"/>
          <w:sz w:val="24"/>
          <w:szCs w:val="24"/>
          <w:lang w:val="lt-LT" w:eastAsia="lt-LT"/>
        </w:rPr>
      </w:pPr>
    </w:p>
    <w:p w:rsidRPr="00CA60CE" w:rsidR="003C0A89" w:rsidP="00CA60CE" w:rsidRDefault="003C0A89" w14:paraId="6DC5B324" w14:textId="7A0DEB66">
      <w:pPr>
        <w:ind w:firstLine="567"/>
        <w:jc w:val="both"/>
        <w:textAlignment w:val="baseline"/>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Projektui taikoma Lietuvos Respublikos teisė. Projektas rengiamas vadovaujantis</w:t>
      </w:r>
      <w:r w:rsidRPr="00CA60CE" w:rsidR="00CA60CE">
        <w:rPr>
          <w:rFonts w:asciiTheme="majorBidi" w:hAnsiTheme="majorBidi" w:cstheme="majorBidi"/>
          <w:sz w:val="24"/>
          <w:szCs w:val="24"/>
          <w:lang w:val="lt-LT" w:eastAsia="lt-LT"/>
        </w:rPr>
        <w:t xml:space="preserve"> </w:t>
      </w:r>
      <w:r w:rsidRPr="00CA60CE">
        <w:rPr>
          <w:rFonts w:asciiTheme="majorBidi" w:hAnsiTheme="majorBidi" w:cstheme="majorBidi"/>
          <w:sz w:val="24"/>
          <w:szCs w:val="24"/>
          <w:lang w:val="lt-LT" w:eastAsia="lt-LT"/>
        </w:rPr>
        <w:t>Muitinės departamento generalinio direktoriaus bei Muitinės kriminalinės tarnybos direktoriaus įsakymais, Lietuvos Respublikos statybos įstatymu, kitais tokių statinių ir patalpų projektavimą, statybą, muitinės darbą ir eksploatavimą reglamentuojančiais norminiais teisės aktais:</w:t>
      </w:r>
    </w:p>
    <w:p w:rsidRPr="00CA60CE" w:rsidR="003C0A89" w:rsidP="00CA60CE" w:rsidRDefault="003C0A89" w14:paraId="093912B0" w14:textId="12AA82B6">
      <w:pPr>
        <w:pStyle w:val="Sraopastraipa"/>
        <w:numPr>
          <w:ilvl w:val="0"/>
          <w:numId w:val="2"/>
        </w:numPr>
        <w:tabs>
          <w:tab w:val="left" w:pos="886"/>
        </w:tabs>
        <w:ind w:left="0" w:firstLine="567"/>
        <w:jc w:val="both"/>
        <w:textAlignment w:val="baseline"/>
        <w:rPr>
          <w:sz w:val="24"/>
          <w:szCs w:val="24"/>
          <w:lang w:val="lt-LT" w:eastAsia="lt-LT"/>
        </w:rPr>
      </w:pPr>
      <w:r w:rsidRPr="00CA60CE">
        <w:rPr>
          <w:sz w:val="24"/>
          <w:szCs w:val="24"/>
          <w:lang w:val="lt-LT" w:eastAsia="lt-LT"/>
        </w:rPr>
        <w:t>Lietuvos Respublikos statybos įstatymas</w:t>
      </w:r>
      <w:r w:rsidR="004A1DF8">
        <w:rPr>
          <w:sz w:val="24"/>
          <w:szCs w:val="24"/>
          <w:lang w:val="lt-LT" w:eastAsia="lt-LT"/>
        </w:rPr>
        <w:t>;</w:t>
      </w:r>
    </w:p>
    <w:p w:rsidRPr="004A1DF8" w:rsidR="003C0A89" w:rsidP="7D2C5869" w:rsidRDefault="003C0A89" w14:paraId="6D8E8DFA" w14:textId="14E3463C">
      <w:pPr>
        <w:pStyle w:val="Sraopastraipa"/>
        <w:numPr>
          <w:ilvl w:val="0"/>
          <w:numId w:val="2"/>
        </w:numPr>
        <w:tabs>
          <w:tab w:val="left" w:pos="886"/>
        </w:tabs>
        <w:ind w:left="0" w:firstLine="567"/>
        <w:jc w:val="both"/>
        <w:textAlignment w:val="baseline"/>
        <w:rPr>
          <w:sz w:val="22"/>
          <w:szCs w:val="22"/>
          <w:lang w:val="lt-LT" w:eastAsia="lt-LT"/>
        </w:rPr>
      </w:pPr>
      <w:r w:rsidRPr="7D2C5869" w:rsidR="003C0A89">
        <w:rPr>
          <w:sz w:val="24"/>
          <w:szCs w:val="24"/>
          <w:lang w:val="lt-LT" w:eastAsia="lt-LT"/>
        </w:rPr>
        <w:t>Statybos techninis reglamentas STR 1.04.04:2017 „Statinio projektavimas, projekto ekspertizė“</w:t>
      </w:r>
      <w:r w:rsidRPr="7D2C5869" w:rsidR="42760AF0">
        <w:rPr>
          <w:sz w:val="24"/>
          <w:szCs w:val="24"/>
          <w:lang w:val="lt-LT" w:eastAsia="lt-LT"/>
        </w:rPr>
        <w:t xml:space="preserve">, patvirtinto LR Aplinkos ministro </w:t>
      </w:r>
      <w:r w:rsidRPr="7D2C5869" w:rsidR="42760AF0">
        <w:rPr>
          <w:rFonts w:ascii="Times New Roman" w:hAnsi="Times New Roman" w:eastAsia="Times New Roman" w:cs="Times New Roman"/>
          <w:b w:val="0"/>
          <w:bCs w:val="0"/>
          <w:i w:val="0"/>
          <w:iCs w:val="0"/>
          <w:caps w:val="1"/>
          <w:noProof w:val="0"/>
          <w:color w:val="000000" w:themeColor="text1" w:themeTint="FF" w:themeShade="FF"/>
          <w:sz w:val="24"/>
          <w:szCs w:val="24"/>
          <w:lang w:val="lt"/>
        </w:rPr>
        <w:t xml:space="preserve">2016 </w:t>
      </w:r>
      <w:r w:rsidRPr="7D2C5869" w:rsidR="42760AF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m</w:t>
      </w:r>
      <w:r w:rsidRPr="7D2C5869" w:rsidR="42760AF0">
        <w:rPr>
          <w:rFonts w:ascii="Times New Roman" w:hAnsi="Times New Roman" w:eastAsia="Times New Roman" w:cs="Times New Roman"/>
          <w:b w:val="0"/>
          <w:bCs w:val="0"/>
          <w:i w:val="0"/>
          <w:iCs w:val="0"/>
          <w:caps w:val="1"/>
          <w:noProof w:val="0"/>
          <w:color w:val="000000" w:themeColor="text1" w:themeTint="FF" w:themeShade="FF"/>
          <w:sz w:val="24"/>
          <w:szCs w:val="24"/>
          <w:lang w:val="lt"/>
        </w:rPr>
        <w:t xml:space="preserve">. </w:t>
      </w:r>
      <w:r w:rsidRPr="7D2C5869" w:rsidR="42760AF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
        </w:rPr>
        <w:t>lapkričio 7 d. ėsakymu Nr. D1-738</w:t>
      </w:r>
      <w:r w:rsidRPr="7D2C5869" w:rsidR="003C0A89">
        <w:rPr>
          <w:sz w:val="24"/>
          <w:szCs w:val="24"/>
          <w:lang w:val="lt-LT" w:eastAsia="lt-LT"/>
        </w:rPr>
        <w:t>;</w:t>
      </w:r>
    </w:p>
    <w:p w:rsidRPr="00563F2A" w:rsidR="003C0A89" w:rsidP="64F8A3D3" w:rsidRDefault="00CA60CE" w14:paraId="10E997D3" w14:textId="64889CDC">
      <w:pPr>
        <w:pStyle w:val="Sraopastraipa"/>
        <w:numPr>
          <w:ilvl w:val="0"/>
          <w:numId w:val="2"/>
        </w:numPr>
        <w:tabs>
          <w:tab w:val="left" w:pos="886"/>
        </w:tabs>
        <w:ind w:left="0" w:firstLine="567"/>
        <w:jc w:val="both"/>
        <w:textAlignment w:val="baseline"/>
        <w:rPr>
          <w:sz w:val="22"/>
          <w:szCs w:val="22"/>
          <w:lang w:val="lt-LT" w:eastAsia="lt-LT"/>
        </w:rPr>
      </w:pPr>
      <w:r w:rsidRPr="64F8A3D3" w:rsidR="00CA60CE">
        <w:rPr>
          <w:sz w:val="24"/>
          <w:szCs w:val="24"/>
          <w:lang w:val="lt-LT" w:eastAsia="lt-LT"/>
        </w:rPr>
        <w:t>S</w:t>
      </w:r>
      <w:r w:rsidRPr="64F8A3D3" w:rsidR="003C0A89">
        <w:rPr>
          <w:sz w:val="24"/>
          <w:szCs w:val="24"/>
          <w:lang w:val="lt-LT" w:eastAsia="lt-LT"/>
        </w:rPr>
        <w:t>tatybos technini</w:t>
      </w:r>
      <w:r w:rsidRPr="64F8A3D3" w:rsidR="00CA60CE">
        <w:rPr>
          <w:sz w:val="24"/>
          <w:szCs w:val="24"/>
          <w:lang w:val="lt-LT" w:eastAsia="lt-LT"/>
        </w:rPr>
        <w:t>s</w:t>
      </w:r>
      <w:r w:rsidRPr="64F8A3D3" w:rsidR="003C0A89">
        <w:rPr>
          <w:sz w:val="24"/>
          <w:szCs w:val="24"/>
          <w:lang w:val="lt-LT" w:eastAsia="lt-LT"/>
        </w:rPr>
        <w:t xml:space="preserve"> reglament</w:t>
      </w:r>
      <w:r w:rsidRPr="64F8A3D3" w:rsidR="00CA60CE">
        <w:rPr>
          <w:sz w:val="24"/>
          <w:szCs w:val="24"/>
          <w:lang w:val="lt-LT" w:eastAsia="lt-LT"/>
        </w:rPr>
        <w:t>as</w:t>
      </w:r>
      <w:r w:rsidRPr="64F8A3D3" w:rsidR="003C0A89">
        <w:rPr>
          <w:sz w:val="24"/>
          <w:szCs w:val="24"/>
          <w:lang w:val="lt-LT" w:eastAsia="lt-LT"/>
        </w:rPr>
        <w:t xml:space="preserve"> STR 2.07.02:2024 „Slėptuvės, kolektyvinės apsaugos statinio ir priedangos projektavimo ir įrengimo reikalavimai“</w:t>
      </w:r>
      <w:r w:rsidRPr="64F8A3D3" w:rsidR="4648854C">
        <w:rPr>
          <w:sz w:val="24"/>
          <w:szCs w:val="24"/>
          <w:lang w:val="lt-LT" w:eastAsia="lt-LT"/>
        </w:rPr>
        <w:t xml:space="preserve">, patvirtinto LR Aplinkos ministro </w:t>
      </w:r>
      <w:r w:rsidRPr="64F8A3D3" w:rsidR="4648854C">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lt-LT"/>
        </w:rPr>
        <w:t>2024 m. vasario 28 d. įsakymu Nr. D1-63</w:t>
      </w:r>
      <w:r w:rsidRPr="64F8A3D3" w:rsidR="00563F2A">
        <w:rPr>
          <w:sz w:val="24"/>
          <w:szCs w:val="24"/>
          <w:lang w:val="lt-LT" w:eastAsia="lt-LT"/>
        </w:rPr>
        <w:t xml:space="preserve"> </w:t>
      </w:r>
      <w:r w:rsidRPr="64F8A3D3" w:rsidR="00563F2A">
        <w:rPr>
          <w:sz w:val="24"/>
          <w:szCs w:val="24"/>
          <w:lang w:val="lt-LT" w:eastAsia="lt-LT"/>
        </w:rPr>
        <w:t>(įvertinti galimybę taikyti)</w:t>
      </w:r>
      <w:r w:rsidRPr="64F8A3D3" w:rsidR="00CA60CE">
        <w:rPr>
          <w:sz w:val="24"/>
          <w:szCs w:val="24"/>
          <w:lang w:val="lt-LT" w:eastAsia="lt-LT"/>
        </w:rPr>
        <w:t>;</w:t>
      </w:r>
    </w:p>
    <w:p w:rsidRPr="00CA60CE" w:rsidR="003C0A89" w:rsidP="00CA60CE" w:rsidRDefault="003C0A89" w14:paraId="6C72319F" w14:textId="707334A3">
      <w:pPr>
        <w:pStyle w:val="Sraopastraipa"/>
        <w:numPr>
          <w:ilvl w:val="0"/>
          <w:numId w:val="2"/>
        </w:numPr>
        <w:tabs>
          <w:tab w:val="left" w:pos="886"/>
        </w:tabs>
        <w:ind w:left="0" w:firstLine="567"/>
        <w:jc w:val="both"/>
        <w:textAlignment w:val="baseline"/>
        <w:rPr>
          <w:sz w:val="24"/>
          <w:szCs w:val="24"/>
          <w:lang w:val="lt-LT" w:eastAsia="lt-LT"/>
        </w:rPr>
      </w:pPr>
      <w:r w:rsidRPr="00CA60CE">
        <w:rPr>
          <w:sz w:val="24"/>
          <w:szCs w:val="24"/>
          <w:lang w:val="lt-LT" w:eastAsia="lt-LT"/>
        </w:rPr>
        <w:t>Visi kiti galiojantys, bei artimiausiu metu įsigaliosiantys privalomieji normatyviniai statybos techniniai dokumentai (STR) ir kiti dokumentai, kurių reikalavimai yra privalomi visiems statybos dalyviams, viešojo administravimo subjektams, inžinerinių tinklų ir susisiekimo komunikacijų savininkams (naudotojams), juridiniams ir fiziniams asmenims, kurių veiklą reguliuoja Statybos įstatymas</w:t>
      </w:r>
      <w:r w:rsidR="004A1DF8">
        <w:rPr>
          <w:sz w:val="24"/>
          <w:szCs w:val="24"/>
          <w:lang w:val="lt-LT" w:eastAsia="lt-LT"/>
        </w:rPr>
        <w:t>;</w:t>
      </w:r>
    </w:p>
    <w:p w:rsidRPr="00CA60CE" w:rsidR="003C0A89" w:rsidP="00CA60CE" w:rsidRDefault="003C0A89" w14:paraId="0BA008C1" w14:textId="27AD3F36">
      <w:pPr>
        <w:numPr>
          <w:ilvl w:val="0"/>
          <w:numId w:val="2"/>
        </w:numPr>
        <w:tabs>
          <w:tab w:val="left" w:pos="886"/>
        </w:tabs>
        <w:ind w:left="0" w:firstLine="567"/>
        <w:jc w:val="both"/>
        <w:textAlignment w:val="baseline"/>
        <w:rPr>
          <w:sz w:val="24"/>
          <w:szCs w:val="24"/>
          <w:lang w:val="lt-LT" w:eastAsia="lt-LT"/>
        </w:rPr>
      </w:pPr>
      <w:r w:rsidRPr="00CA60CE">
        <w:rPr>
          <w:sz w:val="24"/>
          <w:szCs w:val="24"/>
          <w:lang w:val="lt-LT" w:eastAsia="lt-LT"/>
        </w:rPr>
        <w:t xml:space="preserve">Elektros įrenginių įrengimo bendrosios taisyklės, patvirtintos Lietuvos Respublikos energetikos ministro 2012 m. vasario 3 d. įsakymu Nr. 1-22 „Dėl </w:t>
      </w:r>
      <w:r w:rsidRPr="00CA60CE" w:rsidR="004A1DF8">
        <w:rPr>
          <w:sz w:val="24"/>
          <w:szCs w:val="24"/>
          <w:lang w:val="lt-LT" w:eastAsia="lt-LT"/>
        </w:rPr>
        <w:t xml:space="preserve">Elektros </w:t>
      </w:r>
      <w:r w:rsidRPr="00CA60CE">
        <w:rPr>
          <w:sz w:val="24"/>
          <w:szCs w:val="24"/>
          <w:lang w:val="lt-LT" w:eastAsia="lt-LT"/>
        </w:rPr>
        <w:t>įrenginių įrengimo bendrųjų taisyklių patvirtinimo;</w:t>
      </w:r>
    </w:p>
    <w:p w:rsidRPr="00CA60CE" w:rsidR="003C0A89" w:rsidP="00CA60CE" w:rsidRDefault="003C0A89" w14:paraId="078F6EC1" w14:textId="669B3E3A">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LST 1516 „Statinio projektas. Bendrieji įforminimo reikalavimai“;</w:t>
      </w:r>
    </w:p>
    <w:p w:rsidRPr="00CA60CE" w:rsidR="003C0A89" w:rsidP="00CA60CE" w:rsidRDefault="003C0A89" w14:paraId="24988E8C" w14:textId="4B55FFCB">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EIA/TIA-568 </w:t>
      </w:r>
      <w:r w:rsidRPr="00CA60CE" w:rsidR="00CA60CE">
        <w:rPr>
          <w:sz w:val="24"/>
          <w:szCs w:val="24"/>
          <w:lang w:val="lt-LT" w:eastAsia="lt-LT"/>
        </w:rPr>
        <w:t>–</w:t>
      </w:r>
      <w:r w:rsidRPr="00CA60CE">
        <w:rPr>
          <w:sz w:val="24"/>
          <w:szCs w:val="24"/>
          <w:lang w:val="lt-LT" w:eastAsia="lt-LT"/>
        </w:rPr>
        <w:t xml:space="preserve"> </w:t>
      </w:r>
      <w:proofErr w:type="spellStart"/>
      <w:r w:rsidRPr="00CA60CE">
        <w:rPr>
          <w:sz w:val="24"/>
          <w:szCs w:val="24"/>
          <w:lang w:val="lt-LT" w:eastAsia="lt-LT"/>
        </w:rPr>
        <w:t>kabeliavimo</w:t>
      </w:r>
      <w:proofErr w:type="spellEnd"/>
      <w:r w:rsidRPr="00CA60CE">
        <w:rPr>
          <w:sz w:val="24"/>
          <w:szCs w:val="24"/>
          <w:lang w:val="lt-LT" w:eastAsia="lt-LT"/>
        </w:rPr>
        <w:t xml:space="preserve"> standartas arba lygiavertis;</w:t>
      </w:r>
    </w:p>
    <w:p w:rsidRPr="00CA60CE" w:rsidR="003C0A89" w:rsidP="00CA60CE" w:rsidRDefault="003C0A89" w14:paraId="0BA15FB0" w14:textId="1F7D7F79">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EIA/TIA-569 </w:t>
      </w:r>
      <w:r w:rsidRPr="00CA60CE" w:rsidR="00CA60CE">
        <w:rPr>
          <w:sz w:val="24"/>
          <w:szCs w:val="24"/>
          <w:lang w:val="lt-LT" w:eastAsia="lt-LT"/>
        </w:rPr>
        <w:t>–</w:t>
      </w:r>
      <w:r w:rsidRPr="00CA60CE">
        <w:rPr>
          <w:sz w:val="24"/>
          <w:szCs w:val="24"/>
          <w:lang w:val="lt-LT" w:eastAsia="lt-LT"/>
        </w:rPr>
        <w:t xml:space="preserve"> tinklo sąsajų standartas arba lygiavertis;</w:t>
      </w:r>
    </w:p>
    <w:p w:rsidRPr="00CA60CE" w:rsidR="00CA60CE" w:rsidP="00CA60CE" w:rsidRDefault="00CA60CE" w14:paraId="2A94E83F" w14:textId="77777777">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Elektromagnetinis suderinamumas – EN50081 arba lygiavertis, EN50082 arba lygiavertis;</w:t>
      </w:r>
    </w:p>
    <w:p w:rsidRPr="00CA60CE" w:rsidR="00CA60CE" w:rsidP="00CA60CE" w:rsidRDefault="00CA60CE" w14:paraId="36691362" w14:textId="77777777">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Instaliacijos kabeliniams kanalams, vamzdynams ir pan. – EN50085 arba lygiavertis, EN50086 arba lygiavertis, EN61537 arba lygiavertis;</w:t>
      </w:r>
    </w:p>
    <w:p w:rsidRPr="00CA60CE" w:rsidR="003C0A89" w:rsidP="00CA60CE" w:rsidRDefault="003C0A89" w14:paraId="48E099B6" w14:textId="4644339A">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Struktūrizuotų kabelinių sistemų įrengimas </w:t>
      </w:r>
      <w:r w:rsidRPr="00CA60CE" w:rsidR="00CA60CE">
        <w:rPr>
          <w:sz w:val="24"/>
          <w:szCs w:val="24"/>
          <w:lang w:val="lt-LT" w:eastAsia="lt-LT"/>
        </w:rPr>
        <w:t>–</w:t>
      </w:r>
      <w:r w:rsidRPr="00CA60CE">
        <w:rPr>
          <w:sz w:val="24"/>
          <w:szCs w:val="24"/>
          <w:lang w:val="lt-LT" w:eastAsia="lt-LT"/>
        </w:rPr>
        <w:t xml:space="preserve"> EN 50173 arba lygiavertis; ISO/IEC 11801 arba lygiavertis;</w:t>
      </w:r>
    </w:p>
    <w:p w:rsidRPr="00CA60CE" w:rsidR="003C0A89" w:rsidP="00CA60CE" w:rsidRDefault="003C0A89" w14:paraId="6B75AC7D" w14:textId="567DAAFA">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Kabelinių sistemų instaliavimas, specifikacijos ir kokybės užtikrinimas </w:t>
      </w:r>
      <w:r w:rsidRPr="00CA60CE" w:rsidR="00CA60CE">
        <w:rPr>
          <w:sz w:val="24"/>
          <w:szCs w:val="24"/>
          <w:lang w:val="lt-LT" w:eastAsia="lt-LT"/>
        </w:rPr>
        <w:t>–</w:t>
      </w:r>
      <w:r w:rsidRPr="00CA60CE">
        <w:rPr>
          <w:sz w:val="24"/>
          <w:szCs w:val="24"/>
          <w:lang w:val="lt-LT" w:eastAsia="lt-LT"/>
        </w:rPr>
        <w:t xml:space="preserve"> EN50174-1 arba lygiavertis;</w:t>
      </w:r>
    </w:p>
    <w:p w:rsidR="003C0A89" w:rsidP="00CA60CE" w:rsidRDefault="003C0A89" w14:paraId="6EEFA640" w14:textId="7D7E5E18">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Kabelinių sistemų instaliavimo planavimas ir atlikimas </w:t>
      </w:r>
      <w:r w:rsidRPr="00CA60CE" w:rsidR="00CA60CE">
        <w:rPr>
          <w:sz w:val="24"/>
          <w:szCs w:val="24"/>
          <w:lang w:val="lt-LT" w:eastAsia="lt-LT"/>
        </w:rPr>
        <w:t>–</w:t>
      </w:r>
      <w:r w:rsidRPr="00CA60CE">
        <w:rPr>
          <w:sz w:val="24"/>
          <w:szCs w:val="24"/>
          <w:lang w:val="lt-LT" w:eastAsia="lt-LT"/>
        </w:rPr>
        <w:t xml:space="preserve"> EN50174-2 arba lygiavertis, EN50174-3 arba lygiavertis;</w:t>
      </w:r>
    </w:p>
    <w:p w:rsidRPr="00CA60CE" w:rsidR="00CA60CE" w:rsidP="00CA60CE" w:rsidRDefault="00CA60CE" w14:paraId="5496E092" w14:textId="77777777">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Informacinių technologijų įrangos potencialai ir žeminimas — EN50310 arba lygiavertis;</w:t>
      </w:r>
    </w:p>
    <w:p w:rsidRPr="00CA60CE" w:rsidR="003C0A89" w:rsidP="00CA60CE" w:rsidRDefault="003C0A89" w14:paraId="48DAD0F7" w14:textId="5A49A369">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Instaliuotos kabelinės sistemos testavimas </w:t>
      </w:r>
      <w:r w:rsidR="00CA60CE">
        <w:rPr>
          <w:sz w:val="24"/>
          <w:szCs w:val="24"/>
          <w:lang w:val="lt-LT" w:eastAsia="lt-LT"/>
        </w:rPr>
        <w:t>–</w:t>
      </w:r>
      <w:r w:rsidRPr="00CA60CE">
        <w:rPr>
          <w:sz w:val="24"/>
          <w:szCs w:val="24"/>
          <w:lang w:val="lt-LT" w:eastAsia="lt-LT"/>
        </w:rPr>
        <w:t xml:space="preserve"> EN50346 arba lygiavertis;</w:t>
      </w:r>
    </w:p>
    <w:p w:rsidR="003C0A89" w:rsidP="00CA60CE" w:rsidRDefault="003C0A89" w14:paraId="553CCB40" w14:textId="5BE70CB3">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Standartai saugumui: IEC 60950-1 arba lygiavertis, EN 60950 arba lygiavertis, UL 60950-1 arba lygiavertis, CAN/CSA C22.2 No.60950-1-03 arba lygiavertis, EMF:EN 50385 arba lygiavertis;</w:t>
      </w:r>
    </w:p>
    <w:p w:rsidR="003C0A89" w:rsidP="00CA60CE" w:rsidRDefault="003C0A89" w14:paraId="029DA787" w14:textId="49DF100F">
      <w:pPr>
        <w:numPr>
          <w:ilvl w:val="0"/>
          <w:numId w:val="2"/>
        </w:numPr>
        <w:tabs>
          <w:tab w:val="left" w:pos="993"/>
        </w:tabs>
        <w:ind w:left="0" w:firstLine="567"/>
        <w:jc w:val="both"/>
        <w:textAlignment w:val="baseline"/>
        <w:rPr>
          <w:sz w:val="24"/>
          <w:szCs w:val="24"/>
          <w:lang w:val="lt-LT" w:eastAsia="lt-LT"/>
        </w:rPr>
      </w:pPr>
      <w:r w:rsidRPr="00CA60CE">
        <w:rPr>
          <w:sz w:val="24"/>
          <w:szCs w:val="24"/>
          <w:lang w:val="lt-LT" w:eastAsia="lt-LT"/>
        </w:rPr>
        <w:t xml:space="preserve">Standartai elektromagnetiniam suderinamumui: FCC </w:t>
      </w:r>
      <w:proofErr w:type="spellStart"/>
      <w:r w:rsidRPr="00CA60CE">
        <w:rPr>
          <w:sz w:val="24"/>
          <w:szCs w:val="24"/>
          <w:lang w:val="lt-LT" w:eastAsia="lt-LT"/>
        </w:rPr>
        <w:t>Part</w:t>
      </w:r>
      <w:proofErr w:type="spellEnd"/>
      <w:r w:rsidRPr="00CA60CE">
        <w:rPr>
          <w:sz w:val="24"/>
          <w:szCs w:val="24"/>
          <w:lang w:val="lt-LT" w:eastAsia="lt-LT"/>
        </w:rPr>
        <w:t xml:space="preserve"> 15, </w:t>
      </w:r>
      <w:proofErr w:type="spellStart"/>
      <w:r w:rsidRPr="00CA60CE">
        <w:rPr>
          <w:sz w:val="24"/>
          <w:szCs w:val="24"/>
          <w:lang w:val="lt-LT" w:eastAsia="lt-LT"/>
        </w:rPr>
        <w:t>Subpart</w:t>
      </w:r>
      <w:proofErr w:type="spellEnd"/>
      <w:r w:rsidRPr="00CA60CE">
        <w:rPr>
          <w:sz w:val="24"/>
          <w:szCs w:val="24"/>
          <w:lang w:val="lt-LT" w:eastAsia="lt-LT"/>
        </w:rPr>
        <w:t xml:space="preserve"> B, </w:t>
      </w:r>
      <w:proofErr w:type="spellStart"/>
      <w:r w:rsidRPr="00CA60CE">
        <w:rPr>
          <w:sz w:val="24"/>
          <w:szCs w:val="24"/>
          <w:lang w:val="lt-LT" w:eastAsia="lt-LT"/>
        </w:rPr>
        <w:t>Class</w:t>
      </w:r>
      <w:proofErr w:type="spellEnd"/>
      <w:r w:rsidRPr="00CA60CE">
        <w:rPr>
          <w:sz w:val="24"/>
          <w:szCs w:val="24"/>
          <w:lang w:val="lt-LT" w:eastAsia="lt-LT"/>
        </w:rPr>
        <w:t xml:space="preserve"> B, FCC </w:t>
      </w:r>
      <w:proofErr w:type="spellStart"/>
      <w:r w:rsidRPr="00CA60CE">
        <w:rPr>
          <w:sz w:val="24"/>
          <w:szCs w:val="24"/>
          <w:lang w:val="lt-LT" w:eastAsia="lt-LT"/>
        </w:rPr>
        <w:t>Parts</w:t>
      </w:r>
      <w:proofErr w:type="spellEnd"/>
      <w:r w:rsidRPr="00CA60CE">
        <w:rPr>
          <w:sz w:val="24"/>
          <w:szCs w:val="24"/>
          <w:lang w:val="lt-LT" w:eastAsia="lt-LT"/>
        </w:rPr>
        <w:t xml:space="preserve"> 15.107 &amp; 15.109 </w:t>
      </w:r>
      <w:proofErr w:type="spellStart"/>
      <w:r w:rsidRPr="00CA60CE">
        <w:rPr>
          <w:sz w:val="24"/>
          <w:szCs w:val="24"/>
          <w:lang w:val="lt-LT" w:eastAsia="lt-LT"/>
        </w:rPr>
        <w:t>Class</w:t>
      </w:r>
      <w:proofErr w:type="spellEnd"/>
      <w:r w:rsidRPr="00CA60CE">
        <w:rPr>
          <w:sz w:val="24"/>
          <w:szCs w:val="24"/>
          <w:lang w:val="lt-LT" w:eastAsia="lt-LT"/>
        </w:rPr>
        <w:t xml:space="preserve"> B, ICES-003, </w:t>
      </w:r>
      <w:proofErr w:type="spellStart"/>
      <w:r w:rsidRPr="00CA60CE">
        <w:rPr>
          <w:sz w:val="24"/>
          <w:szCs w:val="24"/>
          <w:lang w:val="lt-LT" w:eastAsia="lt-LT"/>
        </w:rPr>
        <w:t>Class</w:t>
      </w:r>
      <w:proofErr w:type="spellEnd"/>
      <w:r w:rsidRPr="00CA60CE">
        <w:rPr>
          <w:sz w:val="24"/>
          <w:szCs w:val="24"/>
          <w:lang w:val="lt-LT" w:eastAsia="lt-LT"/>
        </w:rPr>
        <w:t xml:space="preserve"> B, EN 55011 (CISPR 11), </w:t>
      </w:r>
      <w:proofErr w:type="spellStart"/>
      <w:r w:rsidRPr="00CA60CE">
        <w:rPr>
          <w:sz w:val="24"/>
          <w:szCs w:val="24"/>
          <w:lang w:val="lt-LT" w:eastAsia="lt-LT"/>
        </w:rPr>
        <w:t>Class</w:t>
      </w:r>
      <w:proofErr w:type="spellEnd"/>
      <w:r w:rsidRPr="00CA60CE">
        <w:rPr>
          <w:sz w:val="24"/>
          <w:szCs w:val="24"/>
          <w:lang w:val="lt-LT" w:eastAsia="lt-LT"/>
        </w:rPr>
        <w:t xml:space="preserve"> B. EN 55022 (CISPR22), </w:t>
      </w:r>
      <w:proofErr w:type="spellStart"/>
      <w:r w:rsidRPr="00CA60CE">
        <w:rPr>
          <w:sz w:val="24"/>
          <w:szCs w:val="24"/>
          <w:lang w:val="lt-LT" w:eastAsia="lt-LT"/>
        </w:rPr>
        <w:t>Class</w:t>
      </w:r>
      <w:proofErr w:type="spellEnd"/>
      <w:r w:rsidRPr="00CA60CE">
        <w:rPr>
          <w:sz w:val="24"/>
          <w:szCs w:val="24"/>
          <w:lang w:val="lt-LT" w:eastAsia="lt-LT"/>
        </w:rPr>
        <w:t xml:space="preserve"> A, EN 55024 (CISPR 24), EN/UL60601-1-2 (EMC) EN 301 489-1 &amp; -17 arba lygiaverčiai standartai;</w:t>
      </w:r>
    </w:p>
    <w:p w:rsidRPr="00CA60CE" w:rsidR="00D21523" w:rsidP="00CA60CE" w:rsidRDefault="00D21523" w14:paraId="1F90F670" w14:textId="7C9AEBF5">
      <w:pPr>
        <w:pStyle w:val="Sraopastraipa"/>
        <w:numPr>
          <w:ilvl w:val="0"/>
          <w:numId w:val="2"/>
        </w:numPr>
        <w:tabs>
          <w:tab w:val="left" w:pos="993"/>
        </w:tabs>
        <w:ind w:left="0" w:firstLine="567"/>
        <w:jc w:val="both"/>
        <w:textAlignment w:val="baseline"/>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 xml:space="preserve">Lietuvos Respublikos </w:t>
      </w:r>
      <w:r w:rsidR="00CA60CE">
        <w:rPr>
          <w:rFonts w:asciiTheme="majorBidi" w:hAnsiTheme="majorBidi" w:cstheme="majorBidi"/>
          <w:sz w:val="24"/>
          <w:szCs w:val="24"/>
          <w:lang w:val="lt-LT" w:eastAsia="lt-LT"/>
        </w:rPr>
        <w:t>v</w:t>
      </w:r>
      <w:r w:rsidRPr="00CA60CE">
        <w:rPr>
          <w:rFonts w:asciiTheme="majorBidi" w:hAnsiTheme="majorBidi" w:cstheme="majorBidi"/>
          <w:sz w:val="24"/>
          <w:szCs w:val="24"/>
          <w:lang w:val="lt-LT" w:eastAsia="lt-LT"/>
        </w:rPr>
        <w:t>alstybės ir tarnybos paslapčių įstatym</w:t>
      </w:r>
      <w:r w:rsidR="00CA60CE">
        <w:rPr>
          <w:rFonts w:asciiTheme="majorBidi" w:hAnsiTheme="majorBidi" w:cstheme="majorBidi"/>
          <w:sz w:val="24"/>
          <w:szCs w:val="24"/>
          <w:lang w:val="lt-LT" w:eastAsia="lt-LT"/>
        </w:rPr>
        <w:t>as</w:t>
      </w:r>
      <w:r w:rsidRPr="00CA60CE">
        <w:rPr>
          <w:rFonts w:asciiTheme="majorBidi" w:hAnsiTheme="majorBidi" w:cstheme="majorBidi"/>
          <w:sz w:val="24"/>
          <w:szCs w:val="24"/>
          <w:lang w:val="lt-LT" w:eastAsia="lt-LT"/>
        </w:rPr>
        <w:t>;</w:t>
      </w:r>
    </w:p>
    <w:p w:rsidRPr="00CA60CE" w:rsidR="00D21523" w:rsidP="00CA60CE" w:rsidRDefault="000019A3" w14:paraId="42668993" w14:textId="2E8C0790">
      <w:pPr>
        <w:pStyle w:val="Sraopastraipa"/>
        <w:numPr>
          <w:ilvl w:val="0"/>
          <w:numId w:val="2"/>
        </w:numPr>
        <w:tabs>
          <w:tab w:val="left" w:pos="993"/>
        </w:tabs>
        <w:ind w:left="0" w:firstLine="567"/>
        <w:jc w:val="both"/>
        <w:textAlignment w:val="baseline"/>
        <w:rPr>
          <w:rFonts w:asciiTheme="majorBidi" w:hAnsiTheme="majorBidi" w:cstheme="majorBidi"/>
          <w:sz w:val="24"/>
          <w:szCs w:val="24"/>
          <w:lang w:val="lt-LT" w:eastAsia="lt-LT"/>
        </w:rPr>
      </w:pPr>
      <w:r w:rsidRPr="000019A3">
        <w:rPr>
          <w:rFonts w:asciiTheme="majorBidi" w:hAnsiTheme="majorBidi" w:cstheme="majorBidi"/>
          <w:sz w:val="24"/>
          <w:szCs w:val="24"/>
          <w:lang w:eastAsia="lt-LT"/>
        </w:rPr>
        <w:t>Įslaptintos informacijos fizinės apsaugos reikalavimų ir jų įgyvendinimo tvarkos apraš</w:t>
      </w:r>
      <w:r>
        <w:rPr>
          <w:rFonts w:asciiTheme="majorBidi" w:hAnsiTheme="majorBidi" w:cstheme="majorBidi"/>
          <w:sz w:val="24"/>
          <w:szCs w:val="24"/>
          <w:lang w:eastAsia="lt-LT"/>
        </w:rPr>
        <w:t xml:space="preserve">as, patvirtintas </w:t>
      </w:r>
      <w:r w:rsidRPr="00CA60CE" w:rsidR="00D21523">
        <w:rPr>
          <w:rFonts w:asciiTheme="majorBidi" w:hAnsiTheme="majorBidi" w:cstheme="majorBidi"/>
          <w:sz w:val="24"/>
          <w:szCs w:val="24"/>
          <w:lang w:val="lt-LT" w:eastAsia="lt-LT"/>
        </w:rPr>
        <w:t xml:space="preserve">Lietuvos Respublikos </w:t>
      </w:r>
      <w:r w:rsidRPr="00CA60CE">
        <w:rPr>
          <w:rFonts w:asciiTheme="majorBidi" w:hAnsiTheme="majorBidi" w:cstheme="majorBidi"/>
          <w:sz w:val="24"/>
          <w:szCs w:val="24"/>
          <w:lang w:val="lt-LT" w:eastAsia="lt-LT"/>
        </w:rPr>
        <w:t xml:space="preserve">Vyriausybės </w:t>
      </w:r>
      <w:r w:rsidRPr="00CA60CE" w:rsidR="00D21523">
        <w:rPr>
          <w:rFonts w:asciiTheme="majorBidi" w:hAnsiTheme="majorBidi" w:cstheme="majorBidi"/>
          <w:sz w:val="24"/>
          <w:szCs w:val="24"/>
          <w:lang w:val="lt-LT" w:eastAsia="lt-LT"/>
        </w:rPr>
        <w:t>2018 m. rugpjūčio 13 d. nutarim</w:t>
      </w:r>
      <w:r>
        <w:rPr>
          <w:rFonts w:asciiTheme="majorBidi" w:hAnsiTheme="majorBidi" w:cstheme="majorBidi"/>
          <w:sz w:val="24"/>
          <w:szCs w:val="24"/>
          <w:lang w:val="lt-LT" w:eastAsia="lt-LT"/>
        </w:rPr>
        <w:t>u</w:t>
      </w:r>
      <w:r w:rsidRPr="00CA60CE" w:rsidR="00D21523">
        <w:rPr>
          <w:rFonts w:asciiTheme="majorBidi" w:hAnsiTheme="majorBidi" w:cstheme="majorBidi"/>
          <w:sz w:val="24"/>
          <w:szCs w:val="24"/>
          <w:lang w:val="lt-LT" w:eastAsia="lt-LT"/>
        </w:rPr>
        <w:t xml:space="preserve"> Nr. 820 „Dėl Lietuvos Respublikos valstybės ir tarnybos paslapčių įstatymo įgyvendinimo“</w:t>
      </w:r>
      <w:r>
        <w:rPr>
          <w:rFonts w:asciiTheme="majorBidi" w:hAnsiTheme="majorBidi" w:cstheme="majorBidi"/>
          <w:sz w:val="24"/>
          <w:szCs w:val="24"/>
          <w:lang w:val="lt-LT" w:eastAsia="lt-LT"/>
        </w:rPr>
        <w:t>;</w:t>
      </w:r>
    </w:p>
    <w:p w:rsidRPr="000019A3" w:rsidR="00816709" w:rsidP="00CA60CE" w:rsidRDefault="00816709" w14:paraId="58CE778C" w14:textId="2FD2F59B">
      <w:pPr>
        <w:pStyle w:val="Sraopastraipa"/>
        <w:numPr>
          <w:ilvl w:val="0"/>
          <w:numId w:val="2"/>
        </w:numPr>
        <w:tabs>
          <w:tab w:val="left" w:pos="993"/>
        </w:tabs>
        <w:ind w:left="0" w:firstLine="567"/>
        <w:jc w:val="both"/>
        <w:textAlignment w:val="baseline"/>
        <w:rPr>
          <w:rFonts w:asciiTheme="majorBidi" w:hAnsiTheme="majorBidi" w:cstheme="majorBidi"/>
          <w:sz w:val="24"/>
          <w:szCs w:val="24"/>
          <w:lang w:val="lt-LT" w:eastAsia="lt-LT"/>
        </w:rPr>
      </w:pPr>
      <w:r w:rsidRPr="000019A3">
        <w:rPr>
          <w:rFonts w:asciiTheme="majorBidi" w:hAnsiTheme="majorBidi" w:cstheme="majorBidi"/>
          <w:sz w:val="24"/>
          <w:szCs w:val="24"/>
          <w:lang w:val="lt-LT" w:eastAsia="lt-LT"/>
        </w:rPr>
        <w:t xml:space="preserve">Prisijungimo prie </w:t>
      </w:r>
      <w:r w:rsidRPr="000019A3">
        <w:rPr>
          <w:rFonts w:asciiTheme="majorBidi" w:hAnsiTheme="majorBidi" w:cstheme="majorBidi"/>
          <w:sz w:val="24"/>
          <w:szCs w:val="24"/>
          <w:lang w:val="lt-LT"/>
        </w:rPr>
        <w:t xml:space="preserve">Saugiojo valstybinio duomenų perdavimo tinklo, atsijungimo nuo jo ir elektroninių ryšių paslaugų teikimo šiuo tinklu tvarkos aprašas, patvirtintas Lietuvos Respublikos krašto apsaugos ministro 2019 m. liepos 2 d. įsakymu Nr. V-583 </w:t>
      </w:r>
      <w:r w:rsidRPr="000019A3" w:rsidR="000019A3">
        <w:rPr>
          <w:rFonts w:asciiTheme="majorBidi" w:hAnsiTheme="majorBidi" w:cstheme="majorBidi"/>
          <w:sz w:val="24"/>
          <w:szCs w:val="24"/>
          <w:lang w:val="lt-LT"/>
        </w:rPr>
        <w:t>„</w:t>
      </w:r>
      <w:r w:rsidRPr="000019A3">
        <w:rPr>
          <w:rFonts w:asciiTheme="majorBidi" w:hAnsiTheme="majorBidi" w:cstheme="majorBidi"/>
          <w:sz w:val="24"/>
          <w:szCs w:val="24"/>
          <w:lang w:val="lt-LT"/>
        </w:rPr>
        <w:t>Dėl</w:t>
      </w:r>
      <w:r w:rsidRPr="000019A3" w:rsidR="00CA60CE">
        <w:rPr>
          <w:rFonts w:asciiTheme="majorBidi" w:hAnsiTheme="majorBidi" w:cstheme="majorBidi"/>
          <w:sz w:val="24"/>
          <w:szCs w:val="24"/>
          <w:lang w:val="lt-LT"/>
        </w:rPr>
        <w:t xml:space="preserve"> </w:t>
      </w:r>
      <w:r w:rsidRPr="000019A3">
        <w:rPr>
          <w:rFonts w:asciiTheme="majorBidi" w:hAnsiTheme="majorBidi" w:cstheme="majorBidi"/>
          <w:sz w:val="24"/>
          <w:szCs w:val="24"/>
          <w:lang w:val="lt-LT"/>
        </w:rPr>
        <w:t xml:space="preserve">Saugiojo valstybinio duomenų perdavimo tinklo veiklą </w:t>
      </w:r>
      <w:r w:rsidRPr="000019A3" w:rsidR="00512F76">
        <w:rPr>
          <w:rFonts w:asciiTheme="majorBidi" w:hAnsiTheme="majorBidi" w:cstheme="majorBidi"/>
          <w:sz w:val="24"/>
          <w:szCs w:val="24"/>
          <w:lang w:val="lt-LT"/>
        </w:rPr>
        <w:t>u</w:t>
      </w:r>
      <w:r w:rsidRPr="000019A3">
        <w:rPr>
          <w:rFonts w:asciiTheme="majorBidi" w:hAnsiTheme="majorBidi" w:cstheme="majorBidi"/>
          <w:sz w:val="24"/>
          <w:szCs w:val="24"/>
          <w:lang w:val="lt-LT"/>
        </w:rPr>
        <w:t xml:space="preserve">žtikrinančių dokumentų </w:t>
      </w:r>
      <w:r w:rsidRPr="000019A3" w:rsidR="00512F76">
        <w:rPr>
          <w:rFonts w:asciiTheme="majorBidi" w:hAnsiTheme="majorBidi" w:cstheme="majorBidi"/>
          <w:sz w:val="24"/>
          <w:szCs w:val="24"/>
          <w:lang w:val="lt-LT"/>
        </w:rPr>
        <w:t>patvirtinimo“</w:t>
      </w:r>
      <w:r w:rsidRPr="000019A3" w:rsidR="000019A3">
        <w:rPr>
          <w:rFonts w:asciiTheme="majorBidi" w:hAnsiTheme="majorBidi" w:cstheme="majorBidi"/>
          <w:sz w:val="24"/>
          <w:szCs w:val="24"/>
          <w:lang w:val="lt-LT"/>
        </w:rPr>
        <w:t>;</w:t>
      </w:r>
    </w:p>
    <w:p w:rsidRPr="00CA60CE" w:rsidR="00D21523" w:rsidP="00CA60CE" w:rsidRDefault="00D21523" w14:paraId="72B8A258" w14:textId="588DACC2">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 xml:space="preserve">Muitinės departamento prie Lietuvos Respublikos generalinio direktoriaus 2023 m. rugsėjo 22 d. įsakymas Nr. 1BE-666 „Dėl </w:t>
      </w:r>
      <w:r w:rsidRPr="00CA60CE" w:rsidR="000019A3">
        <w:rPr>
          <w:rFonts w:asciiTheme="majorBidi" w:hAnsiTheme="majorBidi" w:cstheme="majorBidi"/>
          <w:sz w:val="24"/>
          <w:szCs w:val="24"/>
          <w:lang w:val="lt-LT" w:eastAsia="lt-LT"/>
        </w:rPr>
        <w:t xml:space="preserve">Vaizdo </w:t>
      </w:r>
      <w:r w:rsidRPr="00CA60CE">
        <w:rPr>
          <w:rFonts w:asciiTheme="majorBidi" w:hAnsiTheme="majorBidi" w:cstheme="majorBidi"/>
          <w:sz w:val="24"/>
          <w:szCs w:val="24"/>
          <w:lang w:val="lt-LT" w:eastAsia="lt-LT"/>
        </w:rPr>
        <w:t>ir garso duomenų tvarkymo Lietuvos Respublikos muitinėje taisyklių ir Lietuvos Respublikos muitinės vykdomo vaizdo stebėjimo (garso įrašymo) vietų adresų ir stebimų teritorijų (patalpų) sąrašo patvirtinimo“</w:t>
      </w:r>
      <w:r w:rsidR="000019A3">
        <w:rPr>
          <w:rFonts w:asciiTheme="majorBidi" w:hAnsiTheme="majorBidi" w:cstheme="majorBidi"/>
          <w:sz w:val="24"/>
          <w:szCs w:val="24"/>
          <w:lang w:val="lt-LT" w:eastAsia="lt-LT"/>
        </w:rPr>
        <w:t>;</w:t>
      </w:r>
    </w:p>
    <w:p w:rsidRPr="00CA60CE" w:rsidR="00D21523" w:rsidP="00CA60CE" w:rsidRDefault="00D21523" w14:paraId="3038F0EC" w14:textId="27EC8212">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Muitinės kriminalinės tarnybos direktoriaus 2013 m. balandžio 7 d. įsakymas Nr. (1.2)S1-11RN „Dėl Muitinės kriminalinės tarnybos patalpų, kuriose dirbama su įslaptinta informacija arba kuriose tokia informacija saugoma, saugumo zonų“</w:t>
      </w:r>
      <w:r w:rsidR="000019A3">
        <w:rPr>
          <w:rFonts w:asciiTheme="majorBidi" w:hAnsiTheme="majorBidi" w:cstheme="majorBidi"/>
          <w:sz w:val="24"/>
          <w:szCs w:val="24"/>
          <w:lang w:val="lt-LT" w:eastAsia="lt-LT"/>
        </w:rPr>
        <w:t xml:space="preserve"> („</w:t>
      </w:r>
      <w:r w:rsidRPr="000019A3" w:rsidR="000019A3">
        <w:rPr>
          <w:rFonts w:asciiTheme="majorBidi" w:hAnsiTheme="majorBidi" w:cstheme="majorBidi"/>
          <w:b/>
          <w:bCs/>
          <w:sz w:val="24"/>
          <w:szCs w:val="24"/>
          <w:lang w:val="lt-LT" w:eastAsia="lt-LT"/>
        </w:rPr>
        <w:t>Riboto naudojimo</w:t>
      </w:r>
      <w:r w:rsidRPr="000019A3" w:rsidR="000019A3">
        <w:rPr>
          <w:rFonts w:asciiTheme="majorBidi" w:hAnsiTheme="majorBidi" w:cstheme="majorBidi"/>
          <w:sz w:val="24"/>
          <w:szCs w:val="24"/>
          <w:lang w:val="lt-LT" w:eastAsia="lt-LT"/>
        </w:rPr>
        <w:t>“)</w:t>
      </w:r>
      <w:r w:rsidR="000019A3">
        <w:rPr>
          <w:rFonts w:asciiTheme="majorBidi" w:hAnsiTheme="majorBidi" w:cstheme="majorBidi"/>
          <w:sz w:val="24"/>
          <w:szCs w:val="24"/>
          <w:lang w:val="lt-LT" w:eastAsia="lt-LT"/>
        </w:rPr>
        <w:t>;</w:t>
      </w:r>
    </w:p>
    <w:p w:rsidRPr="00CA60CE" w:rsidR="00D21523" w:rsidP="00CA60CE" w:rsidRDefault="00D21523" w14:paraId="137F5764" w14:textId="73D2E7FA">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Muitinės kriminalinės tarnybos direktoriaus 2010 m. rugsėjo 7 d. įsakymas Nr. 1R-112 „Dėl Muitinės kriminalinės tarnybos įeigos kontrolės taisykl</w:t>
      </w:r>
      <w:r w:rsidR="000019A3">
        <w:rPr>
          <w:rFonts w:asciiTheme="majorBidi" w:hAnsiTheme="majorBidi" w:cstheme="majorBidi"/>
          <w:sz w:val="24"/>
          <w:szCs w:val="24"/>
          <w:lang w:val="lt-LT" w:eastAsia="lt-LT"/>
        </w:rPr>
        <w:t>ių</w:t>
      </w:r>
      <w:r w:rsidRPr="00CA60CE">
        <w:rPr>
          <w:rFonts w:asciiTheme="majorBidi" w:hAnsiTheme="majorBidi" w:cstheme="majorBidi"/>
          <w:sz w:val="24"/>
          <w:szCs w:val="24"/>
          <w:lang w:val="lt-LT" w:eastAsia="lt-LT"/>
        </w:rPr>
        <w:t xml:space="preserve"> patvirtinimo“</w:t>
      </w:r>
      <w:r w:rsidR="000019A3">
        <w:rPr>
          <w:rFonts w:asciiTheme="majorBidi" w:hAnsiTheme="majorBidi" w:cstheme="majorBidi"/>
          <w:sz w:val="24"/>
          <w:szCs w:val="24"/>
          <w:lang w:val="lt-LT" w:eastAsia="lt-LT"/>
        </w:rPr>
        <w:t>;</w:t>
      </w:r>
    </w:p>
    <w:p w:rsidRPr="00CA60CE" w:rsidR="00D21523" w:rsidP="00CA60CE" w:rsidRDefault="00D21523" w14:paraId="478F3180" w14:textId="187F4773">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 xml:space="preserve">Įslaptintos informacijos ryšių ir informacinių sistemų saugumo reikalavimų aprašas, patvirtintas Lietuvos Respublikos Vyriausybės 2019 m. sausio 16 d. nutarimu Nr. 40-1 „Dėl įslaptintos informacijos ryšių ir informacinių sistemų apsaugos įgyvendinimo“ </w:t>
      </w:r>
      <w:r w:rsidR="000019A3">
        <w:rPr>
          <w:rFonts w:asciiTheme="majorBidi" w:hAnsiTheme="majorBidi" w:cstheme="majorBidi"/>
          <w:sz w:val="24"/>
          <w:szCs w:val="24"/>
          <w:lang w:val="lt-LT" w:eastAsia="lt-LT"/>
        </w:rPr>
        <w:t>(„</w:t>
      </w:r>
      <w:r w:rsidRPr="000019A3">
        <w:rPr>
          <w:rFonts w:asciiTheme="majorBidi" w:hAnsiTheme="majorBidi" w:cstheme="majorBidi"/>
          <w:b/>
          <w:bCs/>
          <w:sz w:val="24"/>
          <w:szCs w:val="24"/>
          <w:lang w:val="lt-LT" w:eastAsia="lt-LT"/>
        </w:rPr>
        <w:t>Riboto naudojimo</w:t>
      </w:r>
      <w:r w:rsidRPr="000019A3">
        <w:rPr>
          <w:rFonts w:asciiTheme="majorBidi" w:hAnsiTheme="majorBidi" w:cstheme="majorBidi"/>
          <w:sz w:val="24"/>
          <w:szCs w:val="24"/>
          <w:lang w:val="lt-LT" w:eastAsia="lt-LT"/>
        </w:rPr>
        <w:t>“</w:t>
      </w:r>
      <w:r w:rsidRPr="000019A3" w:rsidR="000019A3">
        <w:rPr>
          <w:rFonts w:asciiTheme="majorBidi" w:hAnsiTheme="majorBidi" w:cstheme="majorBidi"/>
          <w:sz w:val="24"/>
          <w:szCs w:val="24"/>
          <w:lang w:val="lt-LT" w:eastAsia="lt-LT"/>
        </w:rPr>
        <w:t>)</w:t>
      </w:r>
      <w:r w:rsidR="004A1DF8">
        <w:rPr>
          <w:rFonts w:asciiTheme="majorBidi" w:hAnsiTheme="majorBidi" w:cstheme="majorBidi"/>
          <w:sz w:val="24"/>
          <w:szCs w:val="24"/>
          <w:lang w:val="lt-LT" w:eastAsia="lt-LT"/>
        </w:rPr>
        <w:t>;</w:t>
      </w:r>
    </w:p>
    <w:p w:rsidRPr="00CA60CE" w:rsidR="00D21523" w:rsidP="00CA60CE" w:rsidRDefault="00D21523" w14:paraId="5B6AD88F" w14:textId="6C5A6894">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Kriptografinių priemonių administravimo tvarkos aprašas, patvirtintas Lietuvos Respublikos Vyriausybės 2019 m. sausio 16 d. nutarimu Nr. 40-1 „Dėl įslaptintos informacijos ryšių ir informacinių sistemų apsaugos įgyvendinimo</w:t>
      </w:r>
      <w:r w:rsidR="000019A3">
        <w:rPr>
          <w:rFonts w:asciiTheme="majorBidi" w:hAnsiTheme="majorBidi" w:cstheme="majorBidi"/>
          <w:sz w:val="24"/>
          <w:szCs w:val="24"/>
          <w:lang w:val="lt-LT" w:eastAsia="lt-LT"/>
        </w:rPr>
        <w:t>“</w:t>
      </w:r>
      <w:r w:rsidRPr="00CA60CE">
        <w:rPr>
          <w:rFonts w:asciiTheme="majorBidi" w:hAnsiTheme="majorBidi" w:cstheme="majorBidi"/>
          <w:sz w:val="24"/>
          <w:szCs w:val="24"/>
          <w:lang w:val="lt-LT" w:eastAsia="lt-LT"/>
        </w:rPr>
        <w:t xml:space="preserve"> </w:t>
      </w:r>
      <w:r w:rsidR="000019A3">
        <w:rPr>
          <w:rFonts w:asciiTheme="majorBidi" w:hAnsiTheme="majorBidi" w:cstheme="majorBidi"/>
          <w:sz w:val="24"/>
          <w:szCs w:val="24"/>
          <w:lang w:val="lt-LT" w:eastAsia="lt-LT"/>
        </w:rPr>
        <w:t>(„</w:t>
      </w:r>
      <w:r w:rsidRPr="000019A3" w:rsidR="000019A3">
        <w:rPr>
          <w:rFonts w:asciiTheme="majorBidi" w:hAnsiTheme="majorBidi" w:cstheme="majorBidi"/>
          <w:b/>
          <w:bCs/>
          <w:sz w:val="24"/>
          <w:szCs w:val="24"/>
          <w:lang w:val="lt-LT" w:eastAsia="lt-LT"/>
        </w:rPr>
        <w:t>Riboto naudojimo</w:t>
      </w:r>
      <w:r w:rsidRPr="000019A3" w:rsidR="000019A3">
        <w:rPr>
          <w:rFonts w:asciiTheme="majorBidi" w:hAnsiTheme="majorBidi" w:cstheme="majorBidi"/>
          <w:sz w:val="24"/>
          <w:szCs w:val="24"/>
          <w:lang w:val="lt-LT" w:eastAsia="lt-LT"/>
        </w:rPr>
        <w:t>“)</w:t>
      </w:r>
      <w:r w:rsidR="004A1DF8">
        <w:rPr>
          <w:rFonts w:asciiTheme="majorBidi" w:hAnsiTheme="majorBidi" w:cstheme="majorBidi"/>
          <w:sz w:val="24"/>
          <w:szCs w:val="24"/>
          <w:lang w:val="lt-LT" w:eastAsia="lt-LT"/>
        </w:rPr>
        <w:t>;</w:t>
      </w:r>
    </w:p>
    <w:p w:rsidRPr="00CA60CE" w:rsidR="00D21523" w:rsidP="00CA60CE" w:rsidRDefault="00D21523" w14:paraId="2D02D6B8" w14:textId="03950B45">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Informacinių technologijų tarnybos prie Krašto apsaugos ministerijos direktoriaus 2021 m. kovo 10 d. įsakymas Nr. N-2RN „Dėl Nacionalinės šifrų paskirstymo tarnybos nustatytos kriptografinių priemonių administravimo tvarkos patvirtinimo“</w:t>
      </w:r>
      <w:r w:rsidR="000019A3">
        <w:rPr>
          <w:rFonts w:asciiTheme="majorBidi" w:hAnsiTheme="majorBidi" w:cstheme="majorBidi"/>
          <w:sz w:val="24"/>
          <w:szCs w:val="24"/>
          <w:lang w:val="lt-LT" w:eastAsia="lt-LT"/>
        </w:rPr>
        <w:t xml:space="preserve"> („</w:t>
      </w:r>
      <w:r w:rsidRPr="000019A3" w:rsidR="000019A3">
        <w:rPr>
          <w:rFonts w:asciiTheme="majorBidi" w:hAnsiTheme="majorBidi" w:cstheme="majorBidi"/>
          <w:b/>
          <w:bCs/>
          <w:sz w:val="24"/>
          <w:szCs w:val="24"/>
          <w:lang w:val="lt-LT" w:eastAsia="lt-LT"/>
        </w:rPr>
        <w:t>Riboto naudojimo</w:t>
      </w:r>
      <w:r w:rsidRPr="000019A3" w:rsidR="000019A3">
        <w:rPr>
          <w:rFonts w:asciiTheme="majorBidi" w:hAnsiTheme="majorBidi" w:cstheme="majorBidi"/>
          <w:sz w:val="24"/>
          <w:szCs w:val="24"/>
          <w:lang w:val="lt-LT" w:eastAsia="lt-LT"/>
        </w:rPr>
        <w:t>“)</w:t>
      </w:r>
      <w:r w:rsidR="004A1DF8">
        <w:rPr>
          <w:rFonts w:asciiTheme="majorBidi" w:hAnsiTheme="majorBidi" w:cstheme="majorBidi"/>
          <w:sz w:val="24"/>
          <w:szCs w:val="24"/>
          <w:lang w:val="lt-LT" w:eastAsia="lt-LT"/>
        </w:rPr>
        <w:t>;</w:t>
      </w:r>
    </w:p>
    <w:p w:rsidRPr="00CA60CE" w:rsidR="00D21523" w:rsidP="00CA60CE" w:rsidRDefault="00D21523" w14:paraId="0E75D706" w14:textId="73FE31C2">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Muitinės kriminalinės tarnybos direktoriaus 2021 m. spalio 19 d. įsakym</w:t>
      </w:r>
      <w:r w:rsidR="000019A3">
        <w:rPr>
          <w:rFonts w:asciiTheme="majorBidi" w:hAnsiTheme="majorBidi" w:cstheme="majorBidi"/>
          <w:sz w:val="24"/>
          <w:szCs w:val="24"/>
          <w:lang w:val="lt-LT" w:eastAsia="lt-LT"/>
        </w:rPr>
        <w:t>as</w:t>
      </w:r>
      <w:r w:rsidRPr="00CA60CE">
        <w:rPr>
          <w:rFonts w:asciiTheme="majorBidi" w:hAnsiTheme="majorBidi" w:cstheme="majorBidi"/>
          <w:sz w:val="24"/>
          <w:szCs w:val="24"/>
          <w:lang w:val="lt-LT" w:eastAsia="lt-LT"/>
        </w:rPr>
        <w:t xml:space="preserve"> Nr. S1-106RN „Dėl Muitinės kriminalinės žvalgybos įslaptintos informacijos ryšių ir informacinės sistemos specifikacijos patvirtinimo“</w:t>
      </w:r>
      <w:r w:rsidR="000019A3">
        <w:rPr>
          <w:rFonts w:asciiTheme="majorBidi" w:hAnsiTheme="majorBidi" w:cstheme="majorBidi"/>
          <w:sz w:val="24"/>
          <w:szCs w:val="24"/>
          <w:lang w:val="lt-LT" w:eastAsia="lt-LT"/>
        </w:rPr>
        <w:t xml:space="preserve"> („</w:t>
      </w:r>
      <w:r w:rsidRPr="000019A3" w:rsidR="000019A3">
        <w:rPr>
          <w:rFonts w:asciiTheme="majorBidi" w:hAnsiTheme="majorBidi" w:cstheme="majorBidi"/>
          <w:b/>
          <w:bCs/>
          <w:sz w:val="24"/>
          <w:szCs w:val="24"/>
          <w:lang w:val="lt-LT" w:eastAsia="lt-LT"/>
        </w:rPr>
        <w:t>Riboto naudojimo</w:t>
      </w:r>
      <w:r w:rsidRPr="000019A3" w:rsidR="000019A3">
        <w:rPr>
          <w:rFonts w:asciiTheme="majorBidi" w:hAnsiTheme="majorBidi" w:cstheme="majorBidi"/>
          <w:sz w:val="24"/>
          <w:szCs w:val="24"/>
          <w:lang w:val="lt-LT" w:eastAsia="lt-LT"/>
        </w:rPr>
        <w:t>“)</w:t>
      </w:r>
      <w:r w:rsidR="004A1DF8">
        <w:rPr>
          <w:rFonts w:asciiTheme="majorBidi" w:hAnsiTheme="majorBidi" w:cstheme="majorBidi"/>
          <w:sz w:val="24"/>
          <w:szCs w:val="24"/>
          <w:lang w:val="lt-LT" w:eastAsia="lt-LT"/>
        </w:rPr>
        <w:t>;</w:t>
      </w:r>
    </w:p>
    <w:p w:rsidRPr="00CA60CE" w:rsidR="00D21523" w:rsidP="00CA60CE" w:rsidRDefault="00D21523" w14:paraId="3D47D462" w14:textId="0B658DF1">
      <w:pPr>
        <w:pStyle w:val="Sraopastraipa"/>
        <w:numPr>
          <w:ilvl w:val="0"/>
          <w:numId w:val="2"/>
        </w:numPr>
        <w:tabs>
          <w:tab w:val="left" w:pos="993"/>
        </w:tabs>
        <w:ind w:left="0" w:firstLine="567"/>
        <w:jc w:val="both"/>
        <w:rPr>
          <w:rFonts w:asciiTheme="majorBidi" w:hAnsiTheme="majorBidi" w:cstheme="majorBidi"/>
          <w:sz w:val="24"/>
          <w:szCs w:val="24"/>
          <w:lang w:val="lt-LT" w:eastAsia="lt-LT"/>
        </w:rPr>
      </w:pPr>
      <w:r w:rsidRPr="00CA60CE">
        <w:rPr>
          <w:rFonts w:asciiTheme="majorBidi" w:hAnsiTheme="majorBidi" w:cstheme="majorBidi"/>
          <w:sz w:val="24"/>
          <w:szCs w:val="24"/>
          <w:lang w:val="lt-LT" w:eastAsia="lt-LT"/>
        </w:rPr>
        <w:t xml:space="preserve">Muitinės departamento prie Lietuvos Respublikos generalinio direktoriaus 2024 m. rugsėjo 6 </w:t>
      </w:r>
      <w:r w:rsidRPr="00CA60CE" w:rsidR="00384F51">
        <w:rPr>
          <w:rFonts w:asciiTheme="majorBidi" w:hAnsiTheme="majorBidi" w:cstheme="majorBidi"/>
          <w:sz w:val="24"/>
          <w:szCs w:val="24"/>
          <w:lang w:val="lt-LT" w:eastAsia="lt-LT"/>
        </w:rPr>
        <w:t xml:space="preserve">d. </w:t>
      </w:r>
      <w:r w:rsidRPr="00CA60CE">
        <w:rPr>
          <w:rFonts w:asciiTheme="majorBidi" w:hAnsiTheme="majorBidi" w:cstheme="majorBidi"/>
          <w:sz w:val="24"/>
          <w:szCs w:val="24"/>
          <w:lang w:val="lt-LT" w:eastAsia="lt-LT"/>
        </w:rPr>
        <w:t>įsakym</w:t>
      </w:r>
      <w:r w:rsidR="000019A3">
        <w:rPr>
          <w:rFonts w:asciiTheme="majorBidi" w:hAnsiTheme="majorBidi" w:cstheme="majorBidi"/>
          <w:sz w:val="24"/>
          <w:szCs w:val="24"/>
          <w:lang w:val="lt-LT" w:eastAsia="lt-LT"/>
        </w:rPr>
        <w:t>as</w:t>
      </w:r>
      <w:r w:rsidRPr="00CA60CE">
        <w:rPr>
          <w:rFonts w:asciiTheme="majorBidi" w:hAnsiTheme="majorBidi" w:cstheme="majorBidi"/>
          <w:sz w:val="24"/>
          <w:szCs w:val="24"/>
          <w:lang w:val="lt-LT" w:eastAsia="lt-LT"/>
        </w:rPr>
        <w:t xml:space="preserve"> Nr. 1BE-778 „Dėl Lietuvos Respublikos muitinės šaunamųjų ginklų, ginklų priedėlių ir šaudmenų įsigijimo, apskaitos, grąžinimo, saugojimo, naudojimo ir saugaus elgesio su jais taisykl</w:t>
      </w:r>
      <w:r w:rsidR="000019A3">
        <w:rPr>
          <w:rFonts w:asciiTheme="majorBidi" w:hAnsiTheme="majorBidi" w:cstheme="majorBidi"/>
          <w:sz w:val="24"/>
          <w:szCs w:val="24"/>
          <w:lang w:val="lt-LT" w:eastAsia="lt-LT"/>
        </w:rPr>
        <w:t>ių patvirtinimo</w:t>
      </w:r>
      <w:r w:rsidRPr="00CA60CE">
        <w:rPr>
          <w:rFonts w:asciiTheme="majorBidi" w:hAnsiTheme="majorBidi" w:cstheme="majorBidi"/>
          <w:sz w:val="24"/>
          <w:szCs w:val="24"/>
          <w:lang w:val="lt-LT" w:eastAsia="lt-LT"/>
        </w:rPr>
        <w:t>“.</w:t>
      </w:r>
    </w:p>
    <w:p w:rsidRPr="00CA60CE" w:rsidR="00DF40F8" w:rsidP="00CA60CE" w:rsidRDefault="00DF40F8" w14:paraId="35FF9BD5" w14:textId="77777777">
      <w:pPr>
        <w:jc w:val="both"/>
        <w:rPr>
          <w:rFonts w:asciiTheme="majorBidi" w:hAnsiTheme="majorBidi" w:cstheme="majorBidi"/>
          <w:sz w:val="24"/>
          <w:szCs w:val="24"/>
          <w:lang w:val="lt-LT"/>
        </w:rPr>
      </w:pPr>
    </w:p>
    <w:p w:rsidRPr="004A1DF8" w:rsidR="00DF40F8" w:rsidP="00CA60CE" w:rsidRDefault="00DF40F8" w14:paraId="78D71D55" w14:textId="5E5B1A1A">
      <w:pPr>
        <w:ind w:firstLine="567"/>
        <w:jc w:val="both"/>
        <w:textAlignment w:val="baseline"/>
        <w:rPr>
          <w:b/>
          <w:bCs/>
          <w:sz w:val="24"/>
          <w:szCs w:val="24"/>
          <w:lang w:val="lt-LT" w:eastAsia="lt-LT"/>
        </w:rPr>
      </w:pPr>
      <w:r w:rsidRPr="004A1DF8">
        <w:rPr>
          <w:b/>
          <w:bCs/>
          <w:sz w:val="24"/>
          <w:szCs w:val="24"/>
          <w:lang w:val="lt-LT" w:eastAsia="lt-LT"/>
        </w:rPr>
        <w:t>PASTABOS:</w:t>
      </w:r>
    </w:p>
    <w:p w:rsidRPr="004A1DF8" w:rsidR="00DF40F8" w:rsidP="004A1DF8" w:rsidRDefault="00DF40F8" w14:paraId="6F8D3346" w14:textId="211C0043">
      <w:pPr>
        <w:numPr>
          <w:ilvl w:val="0"/>
          <w:numId w:val="5"/>
        </w:numPr>
        <w:tabs>
          <w:tab w:val="clear" w:pos="720"/>
          <w:tab w:val="num" w:pos="851"/>
        </w:tabs>
        <w:ind w:left="0" w:firstLine="567"/>
        <w:jc w:val="both"/>
        <w:textAlignment w:val="baseline"/>
        <w:rPr>
          <w:sz w:val="24"/>
          <w:szCs w:val="24"/>
          <w:lang w:val="lt-LT" w:eastAsia="lt-LT"/>
        </w:rPr>
      </w:pPr>
      <w:r w:rsidRPr="004A1DF8">
        <w:rPr>
          <w:sz w:val="24"/>
          <w:szCs w:val="24"/>
          <w:lang w:val="lt-LT" w:eastAsia="lt-LT"/>
        </w:rPr>
        <w:t>Nustojus galioti kuriam nors iš nurodytų dokumentų, galioja jį keičiantis dokumentas, taip pat atsižvelgiama į visus pagrindinio dokumento paskesnius pakeitimus;</w:t>
      </w:r>
    </w:p>
    <w:p w:rsidRPr="004A1DF8" w:rsidR="00DF40F8" w:rsidP="004A1DF8" w:rsidRDefault="00DF40F8" w14:paraId="16F4E5C4" w14:textId="1FD3F2F2">
      <w:pPr>
        <w:numPr>
          <w:ilvl w:val="0"/>
          <w:numId w:val="6"/>
        </w:numPr>
        <w:tabs>
          <w:tab w:val="clear" w:pos="720"/>
          <w:tab w:val="num" w:pos="851"/>
        </w:tabs>
        <w:ind w:left="0" w:firstLine="567"/>
        <w:jc w:val="both"/>
        <w:textAlignment w:val="baseline"/>
        <w:rPr>
          <w:sz w:val="24"/>
          <w:szCs w:val="24"/>
          <w:lang w:val="lt-LT" w:eastAsia="lt-LT"/>
        </w:rPr>
      </w:pPr>
      <w:r w:rsidRPr="004A1DF8">
        <w:rPr>
          <w:sz w:val="24"/>
          <w:szCs w:val="24"/>
          <w:lang w:val="lt-LT" w:eastAsia="lt-LT"/>
        </w:rPr>
        <w:t>Jei atskiruose normatyviniuose aktuose tai pačiai konstrukcijai, savybei, rodikliui, pastato elementui ir pan. nustatyti skirtingi parametrai, pasirenkamas tas, kuris užtikrina geresnes pastato fizines, technines ir eksploatacines savybes;</w:t>
      </w:r>
    </w:p>
    <w:p w:rsidRPr="004A1DF8" w:rsidR="00DF40F8" w:rsidP="004A1DF8" w:rsidRDefault="00DF40F8" w14:paraId="5D3296FC" w14:textId="58470D51">
      <w:pPr>
        <w:numPr>
          <w:ilvl w:val="0"/>
          <w:numId w:val="7"/>
        </w:numPr>
        <w:tabs>
          <w:tab w:val="clear" w:pos="720"/>
          <w:tab w:val="num" w:pos="851"/>
        </w:tabs>
        <w:ind w:left="0" w:firstLine="567"/>
        <w:jc w:val="both"/>
        <w:textAlignment w:val="baseline"/>
        <w:rPr>
          <w:sz w:val="24"/>
          <w:szCs w:val="24"/>
          <w:lang w:val="lt-LT" w:eastAsia="lt-LT"/>
        </w:rPr>
      </w:pPr>
      <w:r w:rsidRPr="004A1DF8">
        <w:rPr>
          <w:sz w:val="24"/>
          <w:szCs w:val="24"/>
          <w:lang w:val="lt-LT" w:eastAsia="lt-LT"/>
        </w:rPr>
        <w:t xml:space="preserve">Rengdamas projektą Projektuotojas taip pat </w:t>
      </w:r>
      <w:r w:rsidR="004A1DF8">
        <w:rPr>
          <w:sz w:val="24"/>
          <w:szCs w:val="24"/>
          <w:lang w:val="lt-LT" w:eastAsia="lt-LT"/>
        </w:rPr>
        <w:t xml:space="preserve">privalo </w:t>
      </w:r>
      <w:r w:rsidRPr="004A1DF8">
        <w:rPr>
          <w:sz w:val="24"/>
          <w:szCs w:val="24"/>
          <w:lang w:val="lt-LT" w:eastAsia="lt-LT"/>
        </w:rPr>
        <w:t>vadovau</w:t>
      </w:r>
      <w:r w:rsidR="004A1DF8">
        <w:rPr>
          <w:sz w:val="24"/>
          <w:szCs w:val="24"/>
          <w:lang w:val="lt-LT" w:eastAsia="lt-LT"/>
        </w:rPr>
        <w:t>t</w:t>
      </w:r>
      <w:r w:rsidRPr="004A1DF8">
        <w:rPr>
          <w:sz w:val="24"/>
          <w:szCs w:val="24"/>
          <w:lang w:val="lt-LT" w:eastAsia="lt-LT"/>
        </w:rPr>
        <w:t>i</w:t>
      </w:r>
      <w:r w:rsidR="004A1DF8">
        <w:rPr>
          <w:sz w:val="24"/>
          <w:szCs w:val="24"/>
          <w:lang w:val="lt-LT" w:eastAsia="lt-LT"/>
        </w:rPr>
        <w:t>s</w:t>
      </w:r>
      <w:r w:rsidRPr="004A1DF8">
        <w:rPr>
          <w:sz w:val="24"/>
          <w:szCs w:val="24"/>
          <w:lang w:val="lt-LT" w:eastAsia="lt-LT"/>
        </w:rPr>
        <w:t xml:space="preserve"> ir kituose sutarties dokumentuose įvardintais normatyviniais aktais.</w:t>
      </w:r>
    </w:p>
    <w:sectPr w:rsidRPr="004A1DF8" w:rsidR="00DF40F8" w:rsidSect="004A1DF8">
      <w:pgSz w:w="11906" w:h="16838" w:orient="portrait"/>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15112"/>
    <w:multiLevelType w:val="hybridMultilevel"/>
    <w:tmpl w:val="9B2087B6"/>
    <w:lvl w:ilvl="0" w:tplc="0FFA3D6A">
      <w:start w:val="1"/>
      <w:numFmt w:val="decimal"/>
      <w:lvlText w:val="%1."/>
      <w:lvlJc w:val="left"/>
      <w:pPr>
        <w:ind w:left="915" w:hanging="360"/>
      </w:pPr>
      <w:rPr>
        <w:rFonts w:hint="default"/>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1" w15:restartNumberingAfterBreak="0">
    <w:nsid w:val="2E273E4B"/>
    <w:multiLevelType w:val="multilevel"/>
    <w:tmpl w:val="28AC9C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7CE6F6D"/>
    <w:multiLevelType w:val="multilevel"/>
    <w:tmpl w:val="CFA45E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6AC1335"/>
    <w:multiLevelType w:val="multilevel"/>
    <w:tmpl w:val="03D43BA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7FB51BB"/>
    <w:multiLevelType w:val="multilevel"/>
    <w:tmpl w:val="812CD6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9B3550B"/>
    <w:multiLevelType w:val="multilevel"/>
    <w:tmpl w:val="CC9C15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6F8D34B1"/>
    <w:multiLevelType w:val="hybridMultilevel"/>
    <w:tmpl w:val="97AC3938"/>
    <w:lvl w:ilvl="0" w:tplc="2AB855B6">
      <w:start w:val="1"/>
      <w:numFmt w:val="decimal"/>
      <w:lvlText w:val="%1."/>
      <w:lvlJc w:val="left"/>
      <w:pPr>
        <w:ind w:left="915" w:hanging="360"/>
      </w:pPr>
      <w:rPr>
        <w:rFonts w:hint="default"/>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num w:numId="1" w16cid:durableId="310794612">
    <w:abstractNumId w:val="0"/>
  </w:num>
  <w:num w:numId="2" w16cid:durableId="560289821">
    <w:abstractNumId w:val="6"/>
  </w:num>
  <w:num w:numId="3" w16cid:durableId="216624248">
    <w:abstractNumId w:val="3"/>
  </w:num>
  <w:num w:numId="4" w16cid:durableId="247470747">
    <w:abstractNumId w:val="5"/>
  </w:num>
  <w:num w:numId="5" w16cid:durableId="2142072758">
    <w:abstractNumId w:val="1"/>
  </w:num>
  <w:num w:numId="6" w16cid:durableId="798574012">
    <w:abstractNumId w:val="2"/>
  </w:num>
  <w:num w:numId="7" w16cid:durableId="1892502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A89"/>
    <w:rsid w:val="000019A3"/>
    <w:rsid w:val="00384F51"/>
    <w:rsid w:val="003C0A89"/>
    <w:rsid w:val="004A1DF8"/>
    <w:rsid w:val="00512F76"/>
    <w:rsid w:val="00535448"/>
    <w:rsid w:val="00563F2A"/>
    <w:rsid w:val="005E459D"/>
    <w:rsid w:val="007A5F26"/>
    <w:rsid w:val="007F4763"/>
    <w:rsid w:val="00816709"/>
    <w:rsid w:val="00890D4D"/>
    <w:rsid w:val="008E7D39"/>
    <w:rsid w:val="00CA60CE"/>
    <w:rsid w:val="00D21523"/>
    <w:rsid w:val="00DD1A7D"/>
    <w:rsid w:val="00DF40F8"/>
    <w:rsid w:val="00FA2849"/>
    <w:rsid w:val="42760AF0"/>
    <w:rsid w:val="4648854C"/>
    <w:rsid w:val="64F8A3D3"/>
    <w:rsid w:val="7D2C58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7A87"/>
  <w15:chartTrackingRefBased/>
  <w15:docId w15:val="{05D2B13A-DD00-4E55-9511-92BA9FF1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C0A89"/>
    <w:pPr>
      <w:widowControl w:val="0"/>
      <w:suppressAutoHyphens/>
      <w:spacing w:after="0" w:line="240" w:lineRule="auto"/>
    </w:pPr>
    <w:rPr>
      <w:rFonts w:ascii="Times New Roman" w:hAnsi="Times New Roman" w:eastAsia="Times New Roman" w:cs="Times New Roman"/>
      <w:kern w:val="0"/>
      <w:lang w:val="lt" w:eastAsia="lt"/>
      <w14:ligatures w14:val="none"/>
    </w:rPr>
  </w:style>
  <w:style w:type="paragraph" w:styleId="Antrat1">
    <w:name w:val="heading 1"/>
    <w:basedOn w:val="prastasis"/>
    <w:next w:val="prastasis"/>
    <w:link w:val="Antrat1Diagrama"/>
    <w:uiPriority w:val="9"/>
    <w:qFormat/>
    <w:rsid w:val="003C0A8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0A8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0A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0A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0A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0A8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0A8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0A8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0A89"/>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3C0A89"/>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3C0A89"/>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3C0A89"/>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3C0A89"/>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3C0A89"/>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3C0A89"/>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3C0A89"/>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3C0A89"/>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3C0A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0A89"/>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3C0A89"/>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3C0A89"/>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3C0A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0A89"/>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3C0A89"/>
    <w:rPr>
      <w:i/>
      <w:iCs/>
      <w:color w:val="404040" w:themeColor="text1" w:themeTint="BF"/>
    </w:rPr>
  </w:style>
  <w:style w:type="paragraph" w:styleId="Sraopastraipa">
    <w:name w:val="List Paragraph"/>
    <w:basedOn w:val="prastasis"/>
    <w:uiPriority w:val="34"/>
    <w:qFormat/>
    <w:rsid w:val="003C0A89"/>
    <w:pPr>
      <w:ind w:left="720"/>
      <w:contextualSpacing/>
    </w:pPr>
  </w:style>
  <w:style w:type="character" w:styleId="Rykuspabraukimas">
    <w:name w:val="Intense Emphasis"/>
    <w:basedOn w:val="Numatytasispastraiposriftas"/>
    <w:uiPriority w:val="21"/>
    <w:qFormat/>
    <w:rsid w:val="003C0A89"/>
    <w:rPr>
      <w:i/>
      <w:iCs/>
      <w:color w:val="0F4761" w:themeColor="accent1" w:themeShade="BF"/>
    </w:rPr>
  </w:style>
  <w:style w:type="paragraph" w:styleId="Iskirtacitata">
    <w:name w:val="Intense Quote"/>
    <w:basedOn w:val="prastasis"/>
    <w:next w:val="prastasis"/>
    <w:link w:val="IskirtacitataDiagrama"/>
    <w:uiPriority w:val="30"/>
    <w:qFormat/>
    <w:rsid w:val="003C0A8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3C0A89"/>
    <w:rPr>
      <w:i/>
      <w:iCs/>
      <w:color w:val="0F4761" w:themeColor="accent1" w:themeShade="BF"/>
    </w:rPr>
  </w:style>
  <w:style w:type="character" w:styleId="Rykinuoroda">
    <w:name w:val="Intense Reference"/>
    <w:basedOn w:val="Numatytasispastraiposriftas"/>
    <w:uiPriority w:val="32"/>
    <w:qFormat/>
    <w:rsid w:val="003C0A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21" ma:contentTypeDescription="Kurkite naują dokumentą." ma:contentTypeScope="" ma:versionID="9333394c094090cfe19cc0763dc80610">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8ae27e8449d1cdcf08045d249770f7c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Props1.xml><?xml version="1.0" encoding="utf-8"?>
<ds:datastoreItem xmlns:ds="http://schemas.openxmlformats.org/officeDocument/2006/customXml" ds:itemID="{563C8F16-5A75-4C43-BC67-5412C8100E1B}"/>
</file>

<file path=customXml/itemProps2.xml><?xml version="1.0" encoding="utf-8"?>
<ds:datastoreItem xmlns:ds="http://schemas.openxmlformats.org/officeDocument/2006/customXml" ds:itemID="{942AC008-EB94-4E02-9136-9DC4E1A82339}"/>
</file>

<file path=customXml/itemProps3.xml><?xml version="1.0" encoding="utf-8"?>
<ds:datastoreItem xmlns:ds="http://schemas.openxmlformats.org/officeDocument/2006/customXml" ds:itemID="{961E509F-5EAB-45E1-B5D5-5C4C4C275FB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LIETUVOS RESPUBLIKOS MUITINĖ</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Valerij Kel</dc:creator>
  <keywords/>
  <dc:description/>
  <lastModifiedBy>RYNKEVIČ, Edita | Turto Bankas</lastModifiedBy>
  <revision>4</revision>
  <dcterms:created xsi:type="dcterms:W3CDTF">2025-04-10T05:14:00.0000000Z</dcterms:created>
  <dcterms:modified xsi:type="dcterms:W3CDTF">2025-05-07T17:32:08.7739512Z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